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E0" w:rsidRDefault="00120DE0" w:rsidP="00120DE0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FirstEnergy (Neutral; $28 PT)</w:t>
      </w:r>
    </w:p>
    <w:p w:rsidR="00120DE0" w:rsidRDefault="00120DE0" w:rsidP="00120DE0">
      <w:pPr>
        <w:pStyle w:val="Heading3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EPS Up on Auction prices – "Clearing the </w:t>
      </w:r>
      <w:proofErr w:type="spellStart"/>
      <w:r>
        <w:rPr>
          <w:rFonts w:eastAsia="Times New Roman"/>
          <w:lang w:val="en-GB"/>
        </w:rPr>
        <w:t>Uncleared</w:t>
      </w:r>
      <w:proofErr w:type="spellEnd"/>
      <w:r>
        <w:rPr>
          <w:rFonts w:eastAsia="Times New Roman"/>
          <w:lang w:val="en-GB"/>
        </w:rPr>
        <w:t>"</w:t>
      </w:r>
    </w:p>
    <w:tbl>
      <w:tblPr>
        <w:tblW w:w="3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120DE0">
        <w:trPr>
          <w:cantSplit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Caption"/>
              <w:framePr w:w="3062" w:hSpace="181" w:wrap="around" w:vAnchor="text" w:hAnchor="page" w:x="7939" w:y="7" w:anchorLock="1"/>
              <w:rPr>
                <w:lang w:val="en-GB"/>
              </w:rPr>
            </w:pPr>
            <w:r>
              <w:rPr>
                <w:lang w:val="en-GB"/>
              </w:rPr>
              <w:t>Figure 17:  Capacity Cleared in 18/19 base auction (%)</w:t>
            </w:r>
          </w:p>
        </w:tc>
      </w:tr>
      <w:tr w:rsidR="00120DE0">
        <w:trPr>
          <w:cantSplit/>
          <w:trHeight w:val="2268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PlaceholderGraphic"/>
              <w:framePr w:w="3062" w:hSpace="181" w:wrap="around" w:vAnchor="text" w:hAnchor="page" w:x="7939" w:y="7" w:anchorLock="1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974850" cy="1521460"/>
                  <wp:effectExtent l="0" t="0" r="6350" b="2540"/>
                  <wp:docPr id="6" name="Picture 6" descr="cid:image017.png@01D0F1F7.1756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image017.png@01D0F1F7.17564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DE0">
        <w:trPr>
          <w:cantSplit/>
        </w:trPr>
        <w:tc>
          <w:tcPr>
            <w:tcW w:w="3100" w:type="dxa"/>
            <w:hideMark/>
          </w:tcPr>
          <w:p w:rsidR="00120DE0" w:rsidRDefault="00120DE0">
            <w:pPr>
              <w:pStyle w:val="TableNote"/>
              <w:framePr w:w="3062" w:hSpace="181" w:wrap="around" w:vAnchor="text" w:hAnchor="page" w:x="7939" w:y="7" w:anchorLock="1"/>
              <w:rPr>
                <w:lang w:val="en-GB"/>
              </w:rPr>
            </w:pPr>
            <w:r>
              <w:t>Source:  Company Filings</w:t>
            </w:r>
          </w:p>
        </w:tc>
      </w:tr>
    </w:tbl>
    <w:p w:rsidR="00120DE0" w:rsidRDefault="00120DE0" w:rsidP="00120DE0">
      <w:pPr>
        <w:rPr>
          <w:rFonts w:ascii="Frutiger 45 Light" w:hAnsi="Frutiger 45 Light"/>
          <w:sz w:val="19"/>
          <w:szCs w:val="19"/>
          <w:lang w:val="en-GB"/>
        </w:rPr>
      </w:pPr>
      <w:r>
        <w:t xml:space="preserve">FE benefitted substantially from clearing generation assets that had not cleared earlier cleared in both the transition auctions for 2016/17 and 2017/18. </w:t>
      </w:r>
    </w:p>
    <w:p w:rsidR="00120DE0" w:rsidRDefault="00120DE0" w:rsidP="00120DE0">
      <w:r>
        <w:t>The 16/17 and 17/18 results are in stark contrast of its earlier BRA results disclosed on 7/30. Specifically, almost 2,500MW and 4,285MW of assets in the ATS</w:t>
      </w:r>
      <w:bookmarkStart w:id="0" w:name="_GoBack"/>
      <w:bookmarkEnd w:id="0"/>
      <w:r>
        <w:t>I region that didn't clear the base auction held earlier for 16/17 and 17/18, cleared the recent CP transition auctions at ~$134/MW-day and ~$151.5/MW-day, realizing significant upside both from the capacity and from the higher prices (see table below).</w:t>
      </w:r>
    </w:p>
    <w:p w:rsidR="00120DE0" w:rsidRDefault="00120DE0" w:rsidP="00120DE0">
      <w:r>
        <w:t xml:space="preserve">Additionally, barring a total of 885MW of uncommitted assets set aside to hedge performance related risk, all the rest cleared in the 2018/2019 PJM BRA and CP auction (see table below). </w:t>
      </w:r>
    </w:p>
    <w:p w:rsidR="00120DE0" w:rsidRDefault="00120DE0" w:rsidP="00120DE0">
      <w:r>
        <w:t xml:space="preserve">We believe the clearance of all the capacity available, coupled with higher realized prices in the auctions will translate into higher EPS and higher EBITDA from 2016 through 2018. Specifically, </w:t>
      </w:r>
      <w:r w:rsidRPr="00D70E1E">
        <w:rPr>
          <w:highlight w:val="yellow"/>
        </w:rPr>
        <w:t>FE expects to generate revenues of $810M and $590M up from $635M and $330M in 2016 and 2017, respectively. Additionally, it expects to generate $620M revenues in 2018 and $260M for the first 5 month of operations in 2019.</w:t>
      </w:r>
      <w:r>
        <w:t xml:space="preserve">  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238"/>
        <w:gridCol w:w="4929"/>
      </w:tblGrid>
      <w:tr w:rsidR="00120DE0">
        <w:trPr>
          <w:cantSplit/>
        </w:trPr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Caption"/>
              <w:rPr>
                <w:lang w:val="en-GB"/>
              </w:rPr>
            </w:pPr>
            <w:r>
              <w:rPr>
                <w:lang w:val="en-GB"/>
              </w:rPr>
              <w:t>Figure 18: Base and Capacity Product – Current Status</w:t>
            </w:r>
          </w:p>
        </w:tc>
        <w:tc>
          <w:tcPr>
            <w:tcW w:w="238" w:type="dxa"/>
          </w:tcPr>
          <w:p w:rsidR="00120DE0" w:rsidRDefault="00120DE0">
            <w:pPr>
              <w:pStyle w:val="Caption"/>
              <w:rPr>
                <w:lang w:val="en-GB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Caption"/>
              <w:rPr>
                <w:lang w:val="en-GB"/>
              </w:rPr>
            </w:pPr>
            <w:r>
              <w:rPr>
                <w:lang w:val="en-GB"/>
              </w:rPr>
              <w:t xml:space="preserve">Figure 19: Base Product – Previous Status </w:t>
            </w:r>
          </w:p>
        </w:tc>
      </w:tr>
      <w:tr w:rsidR="00120DE0">
        <w:trPr>
          <w:cantSplit/>
          <w:trHeight w:val="3328"/>
        </w:trPr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PlaceholderGraphic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3123565" cy="2545715"/>
                  <wp:effectExtent l="0" t="0" r="635" b="6985"/>
                  <wp:docPr id="5" name="Picture 5" descr="cid:image018.png@01D0F1F7.1756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18.png@01D0F1F7.17564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5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120DE0" w:rsidRDefault="00120DE0">
            <w:pPr>
              <w:spacing w:before="100" w:after="180" w:line="260" w:lineRule="atLeast"/>
              <w:jc w:val="both"/>
              <w:rPr>
                <w:sz w:val="19"/>
                <w:szCs w:val="19"/>
                <w:lang w:val="en-GB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PlaceholderGraphic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3123565" cy="1009650"/>
                  <wp:effectExtent l="0" t="0" r="635" b="0"/>
                  <wp:docPr id="4" name="Picture 4" descr="cid:image019.png@01D0F1F7.1756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19.png@01D0F1F7.17564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DE0">
        <w:trPr>
          <w:cantSplit/>
        </w:trPr>
        <w:tc>
          <w:tcPr>
            <w:tcW w:w="4927" w:type="dxa"/>
            <w:hideMark/>
          </w:tcPr>
          <w:p w:rsidR="00120DE0" w:rsidRDefault="00120DE0">
            <w:pPr>
              <w:pStyle w:val="TableNote"/>
              <w:rPr>
                <w:lang w:val="en-GB"/>
              </w:rPr>
            </w:pPr>
            <w:r>
              <w:t xml:space="preserve">Source:  Company reports and </w:t>
            </w:r>
            <w:proofErr w:type="spellStart"/>
            <w:r>
              <w:t>UBSe</w:t>
            </w:r>
            <w:proofErr w:type="spellEnd"/>
          </w:p>
        </w:tc>
        <w:tc>
          <w:tcPr>
            <w:tcW w:w="238" w:type="dxa"/>
          </w:tcPr>
          <w:p w:rsidR="00120DE0" w:rsidRDefault="00120DE0">
            <w:pPr>
              <w:pStyle w:val="TableNote"/>
              <w:rPr>
                <w:lang w:val="en-GB"/>
              </w:rPr>
            </w:pPr>
          </w:p>
        </w:tc>
        <w:tc>
          <w:tcPr>
            <w:tcW w:w="4928" w:type="dxa"/>
            <w:hideMark/>
          </w:tcPr>
          <w:p w:rsidR="00120DE0" w:rsidRDefault="00120DE0">
            <w:pPr>
              <w:pStyle w:val="TableNote"/>
              <w:rPr>
                <w:lang w:val="en-GB"/>
              </w:rPr>
            </w:pPr>
            <w:r>
              <w:t>Source:  Company Reports</w:t>
            </w:r>
          </w:p>
        </w:tc>
      </w:tr>
    </w:tbl>
    <w:p w:rsidR="00120DE0" w:rsidRDefault="00120DE0" w:rsidP="00120DE0">
      <w:pPr>
        <w:rPr>
          <w:rFonts w:ascii="Frutiger 45 Light" w:hAnsi="Frutiger 45 Light"/>
          <w:sz w:val="19"/>
          <w:szCs w:val="19"/>
          <w:lang w:val="en-GB"/>
        </w:rPr>
      </w:pPr>
    </w:p>
    <w:p w:rsidR="00120DE0" w:rsidRDefault="00120DE0" w:rsidP="00120DE0"/>
    <w:p w:rsidR="00120DE0" w:rsidRDefault="00120DE0" w:rsidP="00120DE0"/>
    <w:p w:rsidR="00120DE0" w:rsidRDefault="00120DE0" w:rsidP="00120DE0"/>
    <w:tbl>
      <w:tblPr>
        <w:tblW w:w="6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</w:tblGrid>
      <w:tr w:rsidR="00120DE0">
        <w:trPr>
          <w:cantSplit/>
          <w:trHeight w:val="212"/>
        </w:trPr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Caption"/>
              <w:rPr>
                <w:lang w:val="en-GB"/>
              </w:rPr>
            </w:pPr>
            <w:r>
              <w:rPr>
                <w:lang w:val="en-GB"/>
              </w:rPr>
              <w:lastRenderedPageBreak/>
              <w:t>Figure 20: Revised EBITDA estimates – Generation segment</w:t>
            </w:r>
          </w:p>
        </w:tc>
      </w:tr>
      <w:tr w:rsidR="00120DE0">
        <w:trPr>
          <w:cantSplit/>
          <w:trHeight w:val="1836"/>
        </w:trPr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PlaceholderGraphic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3825875" cy="1323975"/>
                  <wp:effectExtent l="0" t="0" r="3175" b="9525"/>
                  <wp:docPr id="3" name="Picture 3" descr="cid:image020.png@01D0F1F7.1756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image020.png@01D0F1F7.17564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8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DE0">
        <w:trPr>
          <w:cantSplit/>
          <w:trHeight w:val="185"/>
        </w:trPr>
        <w:tc>
          <w:tcPr>
            <w:tcW w:w="6038" w:type="dxa"/>
            <w:hideMark/>
          </w:tcPr>
          <w:p w:rsidR="00120DE0" w:rsidRDefault="00120DE0">
            <w:pPr>
              <w:pStyle w:val="TableNote"/>
              <w:rPr>
                <w:lang w:val="en-GB"/>
              </w:rPr>
            </w:pPr>
            <w:r>
              <w:t xml:space="preserve">Source:  Company reports and </w:t>
            </w:r>
            <w:proofErr w:type="spellStart"/>
            <w:r>
              <w:t>UBSe</w:t>
            </w:r>
            <w:proofErr w:type="spellEnd"/>
          </w:p>
        </w:tc>
      </w:tr>
    </w:tbl>
    <w:p w:rsidR="00120DE0" w:rsidRDefault="00120DE0" w:rsidP="00120DE0">
      <w:pPr>
        <w:pStyle w:val="Heading3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Increasing our EPS estimates </w:t>
      </w:r>
    </w:p>
    <w:p w:rsidR="00120DE0" w:rsidRDefault="00120DE0" w:rsidP="00120DE0">
      <w:r>
        <w:t>We hold our 2015 EPS estimate; incorporating the CP auction results, and making other modelling and MTM adjustments, we increase 2016E-2018E EPS estimates to $2.94, $2.57 and $2.65 (from $2.87, $2.41, and $2.55, respectively). We highlight that FES is now contributing a small but positive equity value to the consolidated net income.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120DE0">
        <w:trPr>
          <w:cantSplit/>
          <w:trHeight w:val="179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Caption"/>
              <w:rPr>
                <w:lang w:val="en-GB"/>
              </w:rPr>
            </w:pPr>
            <w:r>
              <w:rPr>
                <w:lang w:val="en-GB"/>
              </w:rPr>
              <w:t xml:space="preserve">Figure 21:  FE </w:t>
            </w:r>
            <w:proofErr w:type="spellStart"/>
            <w:r>
              <w:rPr>
                <w:lang w:val="en-GB"/>
              </w:rPr>
              <w:t>UBSe</w:t>
            </w:r>
            <w:proofErr w:type="spellEnd"/>
            <w:r>
              <w:rPr>
                <w:lang w:val="en-GB"/>
              </w:rPr>
              <w:t xml:space="preserve"> EBITDA, 2015E-2019E</w:t>
            </w:r>
          </w:p>
        </w:tc>
      </w:tr>
      <w:tr w:rsidR="00120DE0">
        <w:trPr>
          <w:cantSplit/>
          <w:trHeight w:val="1523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PlaceholderGraphic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3782060" cy="1485265"/>
                  <wp:effectExtent l="0" t="0" r="0" b="635"/>
                  <wp:docPr id="2" name="Picture 2" descr="cid:image021.png@01D0F1F7.1756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21.png@01D0F1F7.17564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06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DE0">
        <w:trPr>
          <w:cantSplit/>
          <w:trHeight w:val="158"/>
        </w:trPr>
        <w:tc>
          <w:tcPr>
            <w:tcW w:w="5000" w:type="pct"/>
            <w:hideMark/>
          </w:tcPr>
          <w:p w:rsidR="00120DE0" w:rsidRDefault="00120DE0">
            <w:pPr>
              <w:pStyle w:val="TableNote"/>
              <w:rPr>
                <w:lang w:val="en-GB"/>
              </w:rPr>
            </w:pPr>
            <w:r>
              <w:t xml:space="preserve">Source:  UBS Estimates, </w:t>
            </w:r>
            <w:proofErr w:type="spellStart"/>
            <w:r>
              <w:t>FactSet</w:t>
            </w:r>
            <w:proofErr w:type="spellEnd"/>
            <w:r>
              <w:t xml:space="preserve"> and Company filings</w:t>
            </w:r>
          </w:p>
        </w:tc>
      </w:tr>
    </w:tbl>
    <w:p w:rsidR="00120DE0" w:rsidRDefault="00120DE0" w:rsidP="00120DE0">
      <w:pPr>
        <w:pStyle w:val="Heading3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Valuation: Maintaining $28 PT</w:t>
      </w:r>
    </w:p>
    <w:p w:rsidR="00120DE0" w:rsidRDefault="00120DE0" w:rsidP="00120DE0">
      <w:r>
        <w:t xml:space="preserve">We continue to utilize a 2017E sum-of-the-parts methodology where we apply P/E multiples to the regulated utilities and non-interest parent drag, and EV/EBITDA multiple for FE's generation business. </w:t>
      </w:r>
    </w:p>
    <w:p w:rsidR="00120DE0" w:rsidRDefault="00120DE0" w:rsidP="00120DE0">
      <w:r>
        <w:rPr>
          <w:b/>
          <w:bCs/>
        </w:rPr>
        <w:t xml:space="preserve">Regulated Utilities - </w:t>
      </w:r>
      <w:r>
        <w:rPr>
          <w:b/>
          <w:bCs/>
          <w:color w:val="00B050"/>
        </w:rPr>
        <w:t>$38:</w:t>
      </w:r>
      <w:r>
        <w:t xml:space="preserve"> While our valuation already included previously disclosed cost cutting plan worth ~$1/</w:t>
      </w:r>
      <w:proofErr w:type="spellStart"/>
      <w:r>
        <w:t>sh</w:t>
      </w:r>
      <w:proofErr w:type="spellEnd"/>
      <w:r>
        <w:t xml:space="preserve">, </w:t>
      </w:r>
      <w:r>
        <w:rPr>
          <w:u w:val="single"/>
        </w:rPr>
        <w:t>we lowered our P/E multiple to 14.0x, in-line with the regulated peers and continue to ascribe a 0.5x P/E discount on FE's regulated side of the business.</w:t>
      </w:r>
      <w:r>
        <w:t xml:space="preserve"> </w:t>
      </w:r>
    </w:p>
    <w:p w:rsidR="00120DE0" w:rsidRDefault="00120DE0" w:rsidP="00120DE0">
      <w:r>
        <w:rPr>
          <w:b/>
          <w:bCs/>
        </w:rPr>
        <w:t xml:space="preserve">FES - </w:t>
      </w:r>
      <w:r>
        <w:rPr>
          <w:b/>
          <w:bCs/>
          <w:color w:val="00B050"/>
        </w:rPr>
        <w:t>~$2</w:t>
      </w:r>
      <w:r>
        <w:rPr>
          <w:b/>
          <w:bCs/>
        </w:rPr>
        <w:t>:</w:t>
      </w:r>
      <w:r>
        <w:t xml:space="preserve"> Our updated SOP now includes FE's generation business, following uplift from incorporating latest CP and Base auction prices in the model, </w:t>
      </w:r>
      <w:r>
        <w:rPr>
          <w:u w:val="single"/>
        </w:rPr>
        <w:t>FES now contributing a small but positive equity value to the overall valuation</w:t>
      </w:r>
      <w:r>
        <w:t xml:space="preserve">. We arrived at ~$2 valuation by ascribing an 8.0x EV/EBITDA multiple to FE's generation business. Previously, we were viewing FirstEnergy Solutions as an outright negative drag and thus excluded and “zeroed-out” FES operations from our utility-only valuation. </w:t>
      </w:r>
    </w:p>
    <w:p w:rsidR="00120DE0" w:rsidRDefault="00120DE0" w:rsidP="00120DE0">
      <w:r>
        <w:rPr>
          <w:b/>
          <w:bCs/>
        </w:rPr>
        <w:t xml:space="preserve">Parent Drag – </w:t>
      </w:r>
      <w:r>
        <w:rPr>
          <w:b/>
          <w:bCs/>
          <w:color w:val="FF0000"/>
        </w:rPr>
        <w:t>($12)</w:t>
      </w:r>
      <w:r>
        <w:rPr>
          <w:b/>
          <w:bCs/>
        </w:rPr>
        <w:t>:</w:t>
      </w:r>
      <w:r>
        <w:t xml:space="preserve"> Separately, the negative parent drag is comprised entirely of $1Bn recourse sale leasebacks (~$1Bn of which are at FES) and $4.2Bn of parent notes. We're offsetting our lower utility multiple by haircutting the parent </w:t>
      </w:r>
      <w:proofErr w:type="spellStart"/>
      <w:r>
        <w:t>disynergy</w:t>
      </w:r>
      <w:proofErr w:type="spellEnd"/>
      <w:r>
        <w:t xml:space="preserve"> figure following the announced parent cost cuts. 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5"/>
      </w:tblGrid>
      <w:tr w:rsidR="00120DE0">
        <w:trPr>
          <w:cantSplit/>
        </w:trPr>
        <w:tc>
          <w:tcPr>
            <w:tcW w:w="100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Caption"/>
              <w:rPr>
                <w:lang w:val="en-GB"/>
              </w:rPr>
            </w:pPr>
            <w:r>
              <w:rPr>
                <w:lang w:val="en-GB"/>
              </w:rPr>
              <w:lastRenderedPageBreak/>
              <w:t>Figure 22: FE SOP Valuation – Keeping the $28 PT</w:t>
            </w:r>
          </w:p>
        </w:tc>
      </w:tr>
      <w:tr w:rsidR="00120DE0">
        <w:trPr>
          <w:cantSplit/>
          <w:trHeight w:val="3118"/>
        </w:trPr>
        <w:tc>
          <w:tcPr>
            <w:tcW w:w="100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20DE0" w:rsidRDefault="00120DE0">
            <w:pPr>
              <w:pStyle w:val="PlaceholderGraphic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6400800" cy="5427980"/>
                  <wp:effectExtent l="0" t="0" r="0" b="1270"/>
                  <wp:docPr id="1" name="Picture 1" descr="cid:image022.png@01D0F1F7.1756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22.png@01D0F1F7.17564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42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DE0">
        <w:trPr>
          <w:cantSplit/>
        </w:trPr>
        <w:tc>
          <w:tcPr>
            <w:tcW w:w="10093" w:type="dxa"/>
            <w:hideMark/>
          </w:tcPr>
          <w:p w:rsidR="00120DE0" w:rsidRDefault="00120DE0">
            <w:pPr>
              <w:pStyle w:val="TableNote"/>
              <w:rPr>
                <w:lang w:val="en-GB"/>
              </w:rPr>
            </w:pPr>
            <w:r>
              <w:t xml:space="preserve">Source:  Company Filings and UBS Estimates </w:t>
            </w:r>
          </w:p>
        </w:tc>
      </w:tr>
    </w:tbl>
    <w:p w:rsidR="00120DE0" w:rsidRDefault="00120DE0" w:rsidP="00D70E1E">
      <w:pPr>
        <w:rPr>
          <w:rFonts w:ascii="Frutiger 45 Light" w:hAnsi="Frutiger 45 Light"/>
          <w:sz w:val="19"/>
          <w:szCs w:val="19"/>
          <w:lang w:val="en-GB"/>
        </w:rPr>
      </w:pPr>
    </w:p>
    <w:sectPr w:rsidR="0012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0"/>
    <w:rsid w:val="00120DE0"/>
    <w:rsid w:val="00B477B7"/>
    <w:rsid w:val="00C47CF5"/>
    <w:rsid w:val="00D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2"/>
    <w:qFormat/>
    <w:rsid w:val="00120DE0"/>
    <w:pPr>
      <w:keepNext/>
      <w:spacing w:before="240" w:after="120" w:line="240" w:lineRule="atLeast"/>
      <w:outlineLvl w:val="0"/>
    </w:pPr>
    <w:rPr>
      <w:rFonts w:ascii="Frutiger 45 Light" w:hAnsi="Frutiger 45 Light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2"/>
    <w:semiHidden/>
    <w:unhideWhenUsed/>
    <w:qFormat/>
    <w:rsid w:val="00120DE0"/>
    <w:pPr>
      <w:keepNext/>
      <w:spacing w:before="240" w:after="120" w:line="240" w:lineRule="atLeast"/>
      <w:outlineLvl w:val="2"/>
    </w:pPr>
    <w:rPr>
      <w:rFonts w:ascii="Frutiger 45 Light" w:hAnsi="Frutiger 45 Ligh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20DE0"/>
    <w:rPr>
      <w:rFonts w:ascii="Frutiger 45 Light" w:hAnsi="Frutiger 45 Light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120DE0"/>
    <w:rPr>
      <w:rFonts w:ascii="Frutiger 45 Light" w:hAnsi="Frutiger 45 Light" w:cs="Times New Roman"/>
      <w:b/>
      <w:bCs/>
      <w:sz w:val="24"/>
      <w:szCs w:val="24"/>
    </w:rPr>
  </w:style>
  <w:style w:type="paragraph" w:styleId="Caption">
    <w:name w:val="caption"/>
    <w:basedOn w:val="Normal"/>
    <w:uiPriority w:val="5"/>
    <w:unhideWhenUsed/>
    <w:qFormat/>
    <w:rsid w:val="00120DE0"/>
    <w:pPr>
      <w:keepNext/>
      <w:spacing w:after="120" w:line="240" w:lineRule="atLeast"/>
    </w:pPr>
    <w:rPr>
      <w:rFonts w:ascii="Frutiger 45 Light" w:hAnsi="Frutiger 45 Light"/>
      <w:b/>
      <w:bCs/>
      <w:sz w:val="18"/>
      <w:szCs w:val="18"/>
    </w:rPr>
  </w:style>
  <w:style w:type="character" w:customStyle="1" w:styleId="TableNoteChar">
    <w:name w:val="Table Note Char"/>
    <w:basedOn w:val="DefaultParagraphFont"/>
    <w:link w:val="TableNote"/>
    <w:uiPriority w:val="5"/>
    <w:locked/>
    <w:rsid w:val="00120DE0"/>
  </w:style>
  <w:style w:type="paragraph" w:customStyle="1" w:styleId="TableNote">
    <w:name w:val="Table Note"/>
    <w:basedOn w:val="Normal"/>
    <w:link w:val="TableNoteChar"/>
    <w:uiPriority w:val="5"/>
    <w:rsid w:val="00120DE0"/>
    <w:pPr>
      <w:spacing w:before="40" w:after="120" w:line="160" w:lineRule="atLeast"/>
    </w:pPr>
    <w:rPr>
      <w:rFonts w:asciiTheme="minorHAnsi" w:hAnsiTheme="minorHAnsi" w:cstheme="minorBidi"/>
    </w:rPr>
  </w:style>
  <w:style w:type="paragraph" w:customStyle="1" w:styleId="PlaceholderGraphic">
    <w:name w:val="Placeholder Graphic"/>
    <w:basedOn w:val="Normal"/>
    <w:rsid w:val="00120DE0"/>
    <w:pPr>
      <w:keepNext/>
      <w:spacing w:after="10"/>
    </w:pPr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2"/>
    <w:qFormat/>
    <w:rsid w:val="00120DE0"/>
    <w:pPr>
      <w:keepNext/>
      <w:spacing w:before="240" w:after="120" w:line="240" w:lineRule="atLeast"/>
      <w:outlineLvl w:val="0"/>
    </w:pPr>
    <w:rPr>
      <w:rFonts w:ascii="Frutiger 45 Light" w:hAnsi="Frutiger 45 Light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2"/>
    <w:semiHidden/>
    <w:unhideWhenUsed/>
    <w:qFormat/>
    <w:rsid w:val="00120DE0"/>
    <w:pPr>
      <w:keepNext/>
      <w:spacing w:before="240" w:after="120" w:line="240" w:lineRule="atLeast"/>
      <w:outlineLvl w:val="2"/>
    </w:pPr>
    <w:rPr>
      <w:rFonts w:ascii="Frutiger 45 Light" w:hAnsi="Frutiger 45 Ligh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20DE0"/>
    <w:rPr>
      <w:rFonts w:ascii="Frutiger 45 Light" w:hAnsi="Frutiger 45 Light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120DE0"/>
    <w:rPr>
      <w:rFonts w:ascii="Frutiger 45 Light" w:hAnsi="Frutiger 45 Light" w:cs="Times New Roman"/>
      <w:b/>
      <w:bCs/>
      <w:sz w:val="24"/>
      <w:szCs w:val="24"/>
    </w:rPr>
  </w:style>
  <w:style w:type="paragraph" w:styleId="Caption">
    <w:name w:val="caption"/>
    <w:basedOn w:val="Normal"/>
    <w:uiPriority w:val="5"/>
    <w:unhideWhenUsed/>
    <w:qFormat/>
    <w:rsid w:val="00120DE0"/>
    <w:pPr>
      <w:keepNext/>
      <w:spacing w:after="120" w:line="240" w:lineRule="atLeast"/>
    </w:pPr>
    <w:rPr>
      <w:rFonts w:ascii="Frutiger 45 Light" w:hAnsi="Frutiger 45 Light"/>
      <w:b/>
      <w:bCs/>
      <w:sz w:val="18"/>
      <w:szCs w:val="18"/>
    </w:rPr>
  </w:style>
  <w:style w:type="character" w:customStyle="1" w:styleId="TableNoteChar">
    <w:name w:val="Table Note Char"/>
    <w:basedOn w:val="DefaultParagraphFont"/>
    <w:link w:val="TableNote"/>
    <w:uiPriority w:val="5"/>
    <w:locked/>
    <w:rsid w:val="00120DE0"/>
  </w:style>
  <w:style w:type="paragraph" w:customStyle="1" w:styleId="TableNote">
    <w:name w:val="Table Note"/>
    <w:basedOn w:val="Normal"/>
    <w:link w:val="TableNoteChar"/>
    <w:uiPriority w:val="5"/>
    <w:rsid w:val="00120DE0"/>
    <w:pPr>
      <w:spacing w:before="40" w:after="120" w:line="160" w:lineRule="atLeast"/>
    </w:pPr>
    <w:rPr>
      <w:rFonts w:asciiTheme="minorHAnsi" w:hAnsiTheme="minorHAnsi" w:cstheme="minorBidi"/>
    </w:rPr>
  </w:style>
  <w:style w:type="paragraph" w:customStyle="1" w:styleId="PlaceholderGraphic">
    <w:name w:val="Placeholder Graphic"/>
    <w:basedOn w:val="Normal"/>
    <w:rsid w:val="00120DE0"/>
    <w:pPr>
      <w:keepNext/>
      <w:spacing w:after="10"/>
    </w:pPr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8.png@01D0F1F7.1756441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20.png@01D0F1F7.1756441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22.png@01D0F1F7.17564410" TargetMode="External"/><Relationship Id="rId1" Type="http://schemas.openxmlformats.org/officeDocument/2006/relationships/styles" Target="styles.xml"/><Relationship Id="rId6" Type="http://schemas.openxmlformats.org/officeDocument/2006/relationships/image" Target="cid:image017.png@01D0F1F7.1756441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19.png@01D0F1F7.175644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21.png@01D0F1F7.1756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Munson</dc:creator>
  <cp:lastModifiedBy>Dick Munson</cp:lastModifiedBy>
  <cp:revision>3</cp:revision>
  <dcterms:created xsi:type="dcterms:W3CDTF">2015-09-18T14:03:00Z</dcterms:created>
  <dcterms:modified xsi:type="dcterms:W3CDTF">2015-09-18T14:46:00Z</dcterms:modified>
</cp:coreProperties>
</file>